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
        <w:tblW w:w="0" w:type="auto"/>
        <w:tblBorders>
          <w:top w:val="none" w:sz="0" w:space="0" w:color="auto"/>
          <w:bottom w:val="none" w:sz="0" w:space="0" w:color="auto"/>
        </w:tblBorders>
        <w:tblLook w:val="04A0" w:firstRow="1" w:lastRow="0" w:firstColumn="1" w:lastColumn="0" w:noHBand="0" w:noVBand="1"/>
      </w:tblPr>
      <w:tblGrid>
        <w:gridCol w:w="2660"/>
        <w:gridCol w:w="6911"/>
      </w:tblGrid>
      <w:tr w:rsidR="00925640" w:rsidRPr="00B22AF6" w:rsidTr="00ED7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Pr>
          <w:p w:rsidR="00925640" w:rsidRPr="00B22AF6" w:rsidRDefault="00925640" w:rsidP="006957E9">
            <w:pPr>
              <w:jc w:val="center"/>
              <w:rPr>
                <w:rStyle w:val="a3"/>
                <w:rFonts w:cstheme="minorHAnsi"/>
                <w:b/>
                <w:color w:val="000000" w:themeColor="text1"/>
                <w:sz w:val="24"/>
                <w:szCs w:val="24"/>
              </w:rPr>
            </w:pPr>
            <w:r>
              <w:rPr>
                <w:rStyle w:val="a3"/>
                <w:rFonts w:cstheme="minorHAnsi"/>
                <w:b/>
                <w:color w:val="000000" w:themeColor="text1"/>
                <w:sz w:val="24"/>
                <w:szCs w:val="24"/>
              </w:rPr>
              <w:t>«</w:t>
            </w:r>
            <w:r w:rsidRPr="00B22AF6">
              <w:rPr>
                <w:rStyle w:val="a3"/>
                <w:rFonts w:cstheme="minorHAnsi"/>
                <w:b/>
                <w:color w:val="000000" w:themeColor="text1"/>
                <w:sz w:val="24"/>
                <w:szCs w:val="24"/>
              </w:rPr>
              <w:t>ПРОЕКТЫ РАЗВИТИЯ</w:t>
            </w:r>
            <w:r>
              <w:rPr>
                <w:rStyle w:val="a3"/>
                <w:rFonts w:cstheme="minorHAnsi"/>
                <w:b/>
                <w:color w:val="000000" w:themeColor="text1"/>
                <w:sz w:val="24"/>
                <w:szCs w:val="24"/>
              </w:rPr>
              <w:t>»</w:t>
            </w:r>
            <w:r w:rsidRPr="00B22AF6">
              <w:rPr>
                <w:rStyle w:val="a3"/>
                <w:rFonts w:cstheme="minorHAnsi"/>
                <w:b/>
                <w:color w:val="000000" w:themeColor="text1"/>
                <w:sz w:val="24"/>
                <w:szCs w:val="24"/>
              </w:rPr>
              <w:t xml:space="preserve">: </w:t>
            </w:r>
            <w:r w:rsidR="006957E9">
              <w:rPr>
                <w:rStyle w:val="a3"/>
                <w:rFonts w:cstheme="minorHAnsi"/>
                <w:b/>
                <w:color w:val="000000" w:themeColor="text1"/>
                <w:sz w:val="24"/>
                <w:szCs w:val="24"/>
              </w:rPr>
              <w:t>ПРОГРАММА</w:t>
            </w:r>
            <w:r w:rsidR="00584969">
              <w:rPr>
                <w:rStyle w:val="a3"/>
                <w:rFonts w:cstheme="minorHAnsi"/>
                <w:b/>
                <w:color w:val="000000" w:themeColor="text1"/>
                <w:sz w:val="24"/>
                <w:szCs w:val="24"/>
              </w:rPr>
              <w:t xml:space="preserve"> РЕГИОНАЛЬНОГО </w:t>
            </w:r>
            <w:r w:rsidR="00144445">
              <w:rPr>
                <w:rStyle w:val="a3"/>
                <w:rFonts w:cstheme="minorHAnsi"/>
                <w:b/>
                <w:color w:val="000000" w:themeColor="text1"/>
                <w:sz w:val="24"/>
                <w:szCs w:val="24"/>
              </w:rPr>
              <w:t>ФОНДА РАЗВИТИЯ ПРОМЫШЛЕННОСТИ РЕСПУБЛИКИ АЛТАЙ (РФРП РА)</w:t>
            </w:r>
          </w:p>
        </w:tc>
      </w:tr>
      <w:tr w:rsidR="00925640" w:rsidRPr="00A11BAE" w:rsidTr="00ED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CA130E"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Заемщик, заявитель</w:t>
            </w:r>
          </w:p>
        </w:tc>
        <w:tc>
          <w:tcPr>
            <w:tcW w:w="6911" w:type="dxa"/>
          </w:tcPr>
          <w:p w:rsidR="00925640" w:rsidRPr="003735A7" w:rsidRDefault="00925640" w:rsidP="00406CC3">
            <w:pPr>
              <w:spacing w:after="120"/>
              <w:jc w:val="both"/>
              <w:cnfStyle w:val="000000100000" w:firstRow="0" w:lastRow="0" w:firstColumn="0" w:lastColumn="0" w:oddVBand="0" w:evenVBand="0" w:oddHBand="1"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субъект деятельности в сфере промышленности, </w:t>
            </w:r>
            <w:r w:rsidR="00CA130E" w:rsidRPr="003735A7">
              <w:rPr>
                <w:rStyle w:val="a3"/>
                <w:rFonts w:cstheme="minorHAnsi"/>
                <w:b w:val="0"/>
                <w:color w:val="000000" w:themeColor="text1"/>
                <w:sz w:val="24"/>
                <w:szCs w:val="24"/>
              </w:rPr>
              <w:t>раздел С «Обрабатывающие производства» Класс ОКВЭД 10.89.1, 10.89.4, 10.89.7, 10.89.8, 10.86.61, 10.86.62, 10.86.63, 10.86.64, 10.86.69, 10.86.5, 13, 14, 15, 16, 17, 20, 21, 22, 23, 24, 25, 26, 27, 28, 29, 30, 31 , 32, 33.</w:t>
            </w:r>
          </w:p>
        </w:tc>
      </w:tr>
      <w:tr w:rsidR="00925640" w:rsidRPr="00A11BAE" w:rsidTr="00ED7DC4">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общий бюджет проекта</w:t>
            </w:r>
          </w:p>
        </w:tc>
        <w:tc>
          <w:tcPr>
            <w:tcW w:w="6911" w:type="dxa"/>
          </w:tcPr>
          <w:p w:rsidR="00925640" w:rsidRPr="003735A7" w:rsidRDefault="00925640" w:rsidP="00661BD0">
            <w:pPr>
              <w:spacing w:after="120"/>
              <w:jc w:val="both"/>
              <w:cnfStyle w:val="000000000000" w:firstRow="0" w:lastRow="0" w:firstColumn="0" w:lastColumn="0" w:oddVBand="0" w:evenVBand="0" w:oddHBand="0"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не менее </w:t>
            </w:r>
            <w:r w:rsidR="00661BD0">
              <w:rPr>
                <w:rStyle w:val="a3"/>
                <w:rFonts w:cstheme="minorHAnsi"/>
                <w:b w:val="0"/>
                <w:color w:val="000000" w:themeColor="text1"/>
                <w:sz w:val="24"/>
                <w:szCs w:val="24"/>
              </w:rPr>
              <w:t>6,2</w:t>
            </w:r>
            <w:r w:rsidRPr="003735A7">
              <w:rPr>
                <w:rStyle w:val="a3"/>
                <w:rFonts w:cstheme="minorHAnsi"/>
                <w:b w:val="0"/>
                <w:color w:val="000000" w:themeColor="text1"/>
                <w:sz w:val="24"/>
                <w:szCs w:val="24"/>
              </w:rPr>
              <w:t xml:space="preserve"> млн</w:t>
            </w:r>
            <w:r w:rsidR="007E4A5A" w:rsidRPr="003735A7">
              <w:rPr>
                <w:rStyle w:val="a3"/>
                <w:rFonts w:cstheme="minorHAnsi"/>
                <w:b w:val="0"/>
                <w:color w:val="000000" w:themeColor="text1"/>
                <w:sz w:val="24"/>
                <w:szCs w:val="24"/>
              </w:rPr>
              <w:t>.</w:t>
            </w:r>
            <w:r w:rsidRPr="003735A7">
              <w:rPr>
                <w:rStyle w:val="a3"/>
                <w:rFonts w:cstheme="minorHAnsi"/>
                <w:b w:val="0"/>
                <w:color w:val="000000" w:themeColor="text1"/>
                <w:sz w:val="24"/>
                <w:szCs w:val="24"/>
              </w:rPr>
              <w:t xml:space="preserve"> рублей</w:t>
            </w:r>
          </w:p>
        </w:tc>
      </w:tr>
      <w:tr w:rsidR="00925640" w:rsidRPr="00A11BAE" w:rsidTr="00ED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сумма займа</w:t>
            </w:r>
          </w:p>
        </w:tc>
        <w:tc>
          <w:tcPr>
            <w:tcW w:w="6911" w:type="dxa"/>
          </w:tcPr>
          <w:p w:rsidR="00925640" w:rsidRPr="003735A7" w:rsidRDefault="00683A7E" w:rsidP="00683A7E">
            <w:pPr>
              <w:spacing w:after="120"/>
              <w:jc w:val="both"/>
              <w:cnfStyle w:val="000000100000" w:firstRow="0" w:lastRow="0" w:firstColumn="0" w:lastColumn="0" w:oddVBand="0" w:evenVBand="0" w:oddHBand="1" w:evenHBand="0" w:firstRowFirstColumn="0" w:firstRowLastColumn="0" w:lastRowFirstColumn="0" w:lastRowLastColumn="0"/>
              <w:rPr>
                <w:rStyle w:val="a3"/>
                <w:rFonts w:cstheme="minorHAnsi"/>
                <w:b w:val="0"/>
                <w:color w:val="000000" w:themeColor="text1"/>
                <w:sz w:val="24"/>
                <w:szCs w:val="24"/>
              </w:rPr>
            </w:pPr>
            <w:r>
              <w:rPr>
                <w:rStyle w:val="a3"/>
                <w:rFonts w:cstheme="minorHAnsi"/>
                <w:b w:val="0"/>
                <w:color w:val="000000" w:themeColor="text1"/>
                <w:sz w:val="24"/>
                <w:szCs w:val="24"/>
              </w:rPr>
              <w:t>от</w:t>
            </w:r>
            <w:r w:rsidR="00925640" w:rsidRPr="003735A7">
              <w:rPr>
                <w:rStyle w:val="a3"/>
                <w:rFonts w:cstheme="minorHAnsi"/>
                <w:b w:val="0"/>
                <w:color w:val="000000" w:themeColor="text1"/>
                <w:sz w:val="24"/>
                <w:szCs w:val="24"/>
              </w:rPr>
              <w:t xml:space="preserve"> </w:t>
            </w:r>
            <w:r>
              <w:rPr>
                <w:rStyle w:val="a3"/>
                <w:rFonts w:cstheme="minorHAnsi"/>
                <w:b w:val="0"/>
                <w:color w:val="000000" w:themeColor="text1"/>
                <w:sz w:val="24"/>
                <w:szCs w:val="24"/>
              </w:rPr>
              <w:t>5,0</w:t>
            </w:r>
            <w:r w:rsidR="00925640" w:rsidRPr="003735A7">
              <w:rPr>
                <w:rStyle w:val="a3"/>
                <w:rFonts w:cstheme="minorHAnsi"/>
                <w:b w:val="0"/>
                <w:color w:val="000000" w:themeColor="text1"/>
                <w:sz w:val="24"/>
                <w:szCs w:val="24"/>
              </w:rPr>
              <w:t xml:space="preserve"> млн</w:t>
            </w:r>
            <w:r w:rsidR="007E4A5A" w:rsidRPr="003735A7">
              <w:rPr>
                <w:rStyle w:val="a3"/>
                <w:rFonts w:cstheme="minorHAnsi"/>
                <w:b w:val="0"/>
                <w:color w:val="000000" w:themeColor="text1"/>
                <w:sz w:val="24"/>
                <w:szCs w:val="24"/>
              </w:rPr>
              <w:t>.</w:t>
            </w:r>
            <w:r w:rsidR="00925640" w:rsidRPr="003735A7">
              <w:rPr>
                <w:rStyle w:val="a3"/>
                <w:rFonts w:cstheme="minorHAnsi"/>
                <w:b w:val="0"/>
                <w:color w:val="000000" w:themeColor="text1"/>
                <w:sz w:val="24"/>
                <w:szCs w:val="24"/>
              </w:rPr>
              <w:t xml:space="preserve"> рублей</w:t>
            </w:r>
          </w:p>
        </w:tc>
      </w:tr>
      <w:tr w:rsidR="00925640" w:rsidRPr="00A11BAE" w:rsidTr="00ED7DC4">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срок займа</w:t>
            </w:r>
          </w:p>
        </w:tc>
        <w:tc>
          <w:tcPr>
            <w:tcW w:w="6911" w:type="dxa"/>
          </w:tcPr>
          <w:p w:rsidR="00925640" w:rsidRPr="003735A7" w:rsidRDefault="00925640" w:rsidP="009F6DA9">
            <w:pPr>
              <w:spacing w:after="120"/>
              <w:jc w:val="both"/>
              <w:cnfStyle w:val="000000000000" w:firstRow="0" w:lastRow="0" w:firstColumn="0" w:lastColumn="0" w:oddVBand="0" w:evenVBand="0" w:oddHBand="0"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не более </w:t>
            </w:r>
            <w:r w:rsidR="009F6DA9" w:rsidRPr="003735A7">
              <w:rPr>
                <w:rStyle w:val="a3"/>
                <w:rFonts w:cstheme="minorHAnsi"/>
                <w:b w:val="0"/>
                <w:color w:val="000000" w:themeColor="text1"/>
                <w:sz w:val="24"/>
                <w:szCs w:val="24"/>
              </w:rPr>
              <w:t>7</w:t>
            </w:r>
            <w:r w:rsidRPr="003735A7">
              <w:rPr>
                <w:rStyle w:val="a3"/>
                <w:rFonts w:cstheme="minorHAnsi"/>
                <w:b w:val="0"/>
                <w:color w:val="000000" w:themeColor="text1"/>
                <w:sz w:val="24"/>
                <w:szCs w:val="24"/>
              </w:rPr>
              <w:t xml:space="preserve"> лет</w:t>
            </w:r>
            <w:r w:rsidR="00CE664A" w:rsidRPr="003735A7">
              <w:rPr>
                <w:rStyle w:val="a3"/>
                <w:rFonts w:cstheme="minorHAnsi"/>
                <w:b w:val="0"/>
                <w:color w:val="000000" w:themeColor="text1"/>
                <w:sz w:val="24"/>
                <w:szCs w:val="24"/>
              </w:rPr>
              <w:t xml:space="preserve"> </w:t>
            </w:r>
          </w:p>
        </w:tc>
      </w:tr>
      <w:tr w:rsidR="00925640" w:rsidRPr="00A11BAE" w:rsidTr="00ED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процентная ставка</w:t>
            </w:r>
          </w:p>
        </w:tc>
        <w:tc>
          <w:tcPr>
            <w:tcW w:w="6911" w:type="dxa"/>
          </w:tcPr>
          <w:p w:rsidR="00925640" w:rsidRPr="003735A7" w:rsidRDefault="00925640" w:rsidP="009F6DA9">
            <w:pPr>
              <w:spacing w:after="120"/>
              <w:jc w:val="both"/>
              <w:cnfStyle w:val="000000100000" w:firstRow="0" w:lastRow="0" w:firstColumn="0" w:lastColumn="0" w:oddVBand="0" w:evenVBand="0" w:oddHBand="1"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 </w:t>
            </w:r>
            <w:r w:rsidR="009F6DA9" w:rsidRPr="003735A7">
              <w:rPr>
                <w:rStyle w:val="a3"/>
                <w:rFonts w:cstheme="minorHAnsi"/>
                <w:b w:val="0"/>
                <w:color w:val="000000" w:themeColor="text1"/>
                <w:sz w:val="24"/>
                <w:szCs w:val="24"/>
              </w:rPr>
              <w:t>2</w:t>
            </w:r>
            <w:r w:rsidRPr="003735A7">
              <w:rPr>
                <w:rStyle w:val="a3"/>
                <w:rFonts w:cstheme="minorHAnsi"/>
                <w:b w:val="0"/>
                <w:color w:val="000000" w:themeColor="text1"/>
                <w:sz w:val="24"/>
                <w:szCs w:val="24"/>
              </w:rPr>
              <w:t>,0 % годовых</w:t>
            </w:r>
          </w:p>
        </w:tc>
      </w:tr>
      <w:tr w:rsidR="00925640" w:rsidRPr="000A75A8" w:rsidTr="00ED7DC4">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proofErr w:type="spellStart"/>
            <w:r w:rsidRPr="003735A7">
              <w:rPr>
                <w:rStyle w:val="a3"/>
                <w:rFonts w:cstheme="minorHAnsi"/>
                <w:color w:val="000000" w:themeColor="text1"/>
                <w:sz w:val="24"/>
                <w:szCs w:val="24"/>
              </w:rPr>
              <w:t>софинансирование</w:t>
            </w:r>
            <w:proofErr w:type="spellEnd"/>
            <w:r w:rsidRPr="003735A7">
              <w:rPr>
                <w:rStyle w:val="a3"/>
                <w:rFonts w:cstheme="minorHAnsi"/>
                <w:color w:val="000000" w:themeColor="text1"/>
                <w:sz w:val="24"/>
                <w:szCs w:val="24"/>
              </w:rPr>
              <w:t xml:space="preserve"> со стороны заявителя, частных инвесторов или банков</w:t>
            </w:r>
          </w:p>
        </w:tc>
        <w:tc>
          <w:tcPr>
            <w:tcW w:w="6911" w:type="dxa"/>
          </w:tcPr>
          <w:p w:rsidR="00925640" w:rsidRPr="003735A7" w:rsidRDefault="00925640" w:rsidP="003567AB">
            <w:pPr>
              <w:pStyle w:val="a7"/>
              <w:tabs>
                <w:tab w:val="left" w:pos="231"/>
              </w:tabs>
              <w:spacing w:after="120"/>
              <w:ind w:left="0"/>
              <w:jc w:val="both"/>
              <w:cnfStyle w:val="000000000000" w:firstRow="0" w:lastRow="0" w:firstColumn="0" w:lastColumn="0" w:oddVBand="0" w:evenVBand="0" w:oddHBand="0"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не менее 50% от общего бюджета проекта </w:t>
            </w:r>
          </w:p>
        </w:tc>
      </w:tr>
      <w:tr w:rsidR="00925640" w:rsidRPr="00A11BAE" w:rsidTr="00ED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r w:rsidRPr="003735A7">
              <w:rPr>
                <w:rStyle w:val="a3"/>
                <w:rFonts w:cstheme="minorHAnsi"/>
                <w:color w:val="000000" w:themeColor="text1"/>
                <w:sz w:val="24"/>
                <w:szCs w:val="24"/>
              </w:rPr>
              <w:t>цели финансирования</w:t>
            </w:r>
            <w:r w:rsidRPr="003735A7">
              <w:rPr>
                <w:sz w:val="24"/>
                <w:szCs w:val="24"/>
              </w:rPr>
              <w:t xml:space="preserve"> </w:t>
            </w:r>
            <w:r w:rsidRPr="003735A7">
              <w:rPr>
                <w:rStyle w:val="a3"/>
                <w:rFonts w:cstheme="minorHAnsi"/>
                <w:color w:val="000000" w:themeColor="text1"/>
                <w:sz w:val="24"/>
                <w:szCs w:val="24"/>
              </w:rPr>
              <w:t>в рамках проекта</w:t>
            </w:r>
          </w:p>
        </w:tc>
        <w:tc>
          <w:tcPr>
            <w:tcW w:w="6911" w:type="dxa"/>
          </w:tcPr>
          <w:p w:rsidR="00925640" w:rsidRPr="003735A7" w:rsidRDefault="00925640" w:rsidP="00925640">
            <w:pPr>
              <w:pStyle w:val="a7"/>
              <w:numPr>
                <w:ilvl w:val="0"/>
                <w:numId w:val="2"/>
              </w:numPr>
              <w:spacing w:after="120"/>
              <w:jc w:val="both"/>
              <w:cnfStyle w:val="000000100000" w:firstRow="0" w:lastRow="0" w:firstColumn="0" w:lastColumn="0" w:oddVBand="0" w:evenVBand="0" w:oddHBand="1" w:evenHBand="0" w:firstRowFirstColumn="0" w:firstRowLastColumn="0" w:lastRowFirstColumn="0" w:lastRowLastColumn="0"/>
              <w:rPr>
                <w:rStyle w:val="a3"/>
                <w:rFonts w:cstheme="minorHAnsi"/>
                <w:b w:val="0"/>
                <w:color w:val="000000" w:themeColor="text1"/>
                <w:sz w:val="24"/>
                <w:szCs w:val="24"/>
              </w:rPr>
            </w:pPr>
            <w:r w:rsidRPr="003735A7">
              <w:rPr>
                <w:rStyle w:val="a3"/>
                <w:rFonts w:cstheme="minorHAnsi"/>
                <w:b w:val="0"/>
                <w:color w:val="000000" w:themeColor="text1"/>
                <w:sz w:val="24"/>
                <w:szCs w:val="24"/>
              </w:rPr>
              <w:t xml:space="preserve">приобретение в собственность для целей технологического перевооружения и модернизации производства российского и (или) импортного промышленного </w:t>
            </w:r>
            <w:proofErr w:type="gramStart"/>
            <w:r w:rsidRPr="003735A7">
              <w:rPr>
                <w:rStyle w:val="a3"/>
                <w:rFonts w:cstheme="minorHAnsi"/>
                <w:b w:val="0"/>
                <w:color w:val="000000" w:themeColor="text1"/>
                <w:sz w:val="24"/>
                <w:szCs w:val="24"/>
              </w:rPr>
              <w:t>оборудования</w:t>
            </w:r>
            <w:proofErr w:type="gramEnd"/>
            <w:r w:rsidRPr="003735A7">
              <w:rPr>
                <w:rStyle w:val="a3"/>
                <w:rFonts w:cstheme="minorHAnsi"/>
                <w:b w:val="0"/>
                <w:color w:val="000000" w:themeColor="text1"/>
                <w:sz w:val="24"/>
                <w:szCs w:val="24"/>
              </w:rPr>
              <w:t xml:space="preserve">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tc>
      </w:tr>
      <w:tr w:rsidR="00925640" w:rsidRPr="00A17CE4" w:rsidTr="00ED7DC4">
        <w:tc>
          <w:tcPr>
            <w:cnfStyle w:val="001000000000" w:firstRow="0" w:lastRow="0" w:firstColumn="1" w:lastColumn="0" w:oddVBand="0" w:evenVBand="0" w:oddHBand="0" w:evenHBand="0" w:firstRowFirstColumn="0" w:firstRowLastColumn="0" w:lastRowFirstColumn="0" w:lastRowLastColumn="0"/>
            <w:tcW w:w="2660" w:type="dxa"/>
          </w:tcPr>
          <w:p w:rsidR="00925640" w:rsidRPr="003735A7" w:rsidRDefault="00925640" w:rsidP="00ED7DC4">
            <w:pPr>
              <w:spacing w:after="120"/>
              <w:jc w:val="both"/>
              <w:rPr>
                <w:rStyle w:val="a3"/>
                <w:rFonts w:cstheme="minorHAnsi"/>
                <w:color w:val="000000" w:themeColor="text1"/>
                <w:sz w:val="24"/>
                <w:szCs w:val="24"/>
              </w:rPr>
            </w:pPr>
          </w:p>
        </w:tc>
        <w:tc>
          <w:tcPr>
            <w:tcW w:w="6911" w:type="dxa"/>
          </w:tcPr>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Style w:val="a3"/>
                <w:rFonts w:cstheme="minorHAnsi"/>
                <w:color w:val="000000" w:themeColor="text1"/>
                <w:sz w:val="24"/>
                <w:szCs w:val="24"/>
              </w:rPr>
              <w:t>Средства, полученные для финансирования проекта со стороны Фонда, не могут быть направлены на реализацию следующих мероприятий:</w:t>
            </w:r>
            <w:r w:rsidRPr="003735A7">
              <w:rPr>
                <w:rStyle w:val="a3"/>
                <w:rFonts w:cstheme="minorHAnsi"/>
                <w:color w:val="000000" w:themeColor="text1"/>
                <w:sz w:val="24"/>
                <w:szCs w:val="24"/>
              </w:rPr>
              <w:cr/>
            </w:r>
            <w:r w:rsidRPr="003735A7">
              <w:rPr>
                <w:rFonts w:cstheme="minorHAnsi"/>
                <w:bCs/>
                <w:color w:val="000000" w:themeColor="text1"/>
                <w:sz w:val="24"/>
                <w:szCs w:val="24"/>
              </w:rPr>
              <w:sym w:font="Symbol" w:char="F0B7"/>
            </w:r>
            <w:r w:rsidRPr="003735A7">
              <w:rPr>
                <w:rFonts w:cstheme="minorHAnsi"/>
                <w:bCs/>
                <w:color w:val="000000" w:themeColor="text1"/>
                <w:sz w:val="24"/>
                <w:szCs w:val="24"/>
              </w:rPr>
              <w:t xml:space="preserve"> рефинансирование заемных средств и погашение кредиторской задолженности и иных обязательств, возникших до даты предоставления Займа; </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уплату процентов по заемным средствам, в том числе по Займу, предоставленному РФРП;</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приобретение или погашение векселей, эмиссионных ценных бумаг; </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осуществление вложений в уставные и складочные капиталы третьих лиц; </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оплату налогов и сборов, а также прочих текущих (коммунальных, арендных и т.п.) платежей; </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выплату заработной платы; </w:t>
            </w:r>
          </w:p>
          <w:p w:rsidR="00925640" w:rsidRPr="003735A7" w:rsidRDefault="00925640" w:rsidP="00ED7DC4">
            <w:pPr>
              <w:pStyle w:val="a7"/>
              <w:spacing w:after="120"/>
              <w:jc w:val="both"/>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4"/>
                <w:szCs w:val="24"/>
              </w:rPr>
            </w:pPr>
            <w:r w:rsidRPr="003735A7">
              <w:rPr>
                <w:rFonts w:cstheme="minorHAnsi"/>
                <w:bCs/>
                <w:color w:val="000000" w:themeColor="text1"/>
                <w:sz w:val="24"/>
                <w:szCs w:val="24"/>
              </w:rPr>
              <w:t>•</w:t>
            </w:r>
            <w:r w:rsidRPr="003735A7">
              <w:rPr>
                <w:rFonts w:cstheme="minorHAnsi"/>
                <w:bCs/>
                <w:color w:val="000000" w:themeColor="text1"/>
                <w:sz w:val="24"/>
                <w:szCs w:val="24"/>
              </w:rPr>
              <w:tab/>
              <w:t xml:space="preserve"> строительство зданий, сооружений общехозяйственного назначения;</w:t>
            </w:r>
          </w:p>
          <w:p w:rsidR="00925640" w:rsidRPr="003735A7" w:rsidRDefault="00CA130E" w:rsidP="00CA130E">
            <w:pPr>
              <w:pStyle w:val="a7"/>
              <w:spacing w:after="120"/>
              <w:ind w:left="0"/>
              <w:jc w:val="both"/>
              <w:cnfStyle w:val="000000000000" w:firstRow="0" w:lastRow="0" w:firstColumn="0" w:lastColumn="0" w:oddVBand="0" w:evenVBand="0" w:oddHBand="0" w:evenHBand="0" w:firstRowFirstColumn="0" w:firstRowLastColumn="0" w:lastRowFirstColumn="0" w:lastRowLastColumn="0"/>
              <w:rPr>
                <w:rStyle w:val="a3"/>
                <w:rFonts w:cstheme="minorHAnsi"/>
                <w:b w:val="0"/>
                <w:color w:val="000000" w:themeColor="text1"/>
                <w:sz w:val="24"/>
                <w:szCs w:val="24"/>
              </w:rPr>
            </w:pPr>
            <w:r w:rsidRPr="003735A7">
              <w:rPr>
                <w:rFonts w:cstheme="minorHAnsi"/>
                <w:bCs/>
                <w:color w:val="000000" w:themeColor="text1"/>
                <w:sz w:val="24"/>
                <w:szCs w:val="24"/>
              </w:rPr>
              <w:t xml:space="preserve">             </w:t>
            </w:r>
            <w:r w:rsidR="00925640" w:rsidRPr="003735A7">
              <w:rPr>
                <w:rFonts w:cstheme="minorHAnsi"/>
                <w:bCs/>
                <w:color w:val="000000" w:themeColor="text1"/>
                <w:sz w:val="24"/>
                <w:szCs w:val="24"/>
              </w:rPr>
              <w:t>•</w:t>
            </w:r>
            <w:r w:rsidR="00925640" w:rsidRPr="003735A7">
              <w:rPr>
                <w:rFonts w:cstheme="minorHAnsi"/>
                <w:bCs/>
                <w:color w:val="000000" w:themeColor="text1"/>
                <w:sz w:val="24"/>
                <w:szCs w:val="24"/>
              </w:rPr>
              <w:tab/>
            </w:r>
            <w:r w:rsidRPr="003735A7">
              <w:rPr>
                <w:rFonts w:cstheme="minorHAnsi"/>
                <w:bCs/>
                <w:color w:val="000000" w:themeColor="text1"/>
                <w:sz w:val="24"/>
                <w:szCs w:val="24"/>
              </w:rPr>
              <w:t xml:space="preserve"> </w:t>
            </w:r>
            <w:r w:rsidR="00925640" w:rsidRPr="003735A7">
              <w:rPr>
                <w:rFonts w:cstheme="minorHAnsi"/>
                <w:bCs/>
                <w:color w:val="000000" w:themeColor="text1"/>
                <w:sz w:val="24"/>
                <w:szCs w:val="24"/>
              </w:rPr>
              <w:t xml:space="preserve">оплату консультационных и посреднических услуг, за </w:t>
            </w:r>
            <w:r w:rsidRPr="003735A7">
              <w:rPr>
                <w:rFonts w:cstheme="minorHAnsi"/>
                <w:bCs/>
                <w:color w:val="000000" w:themeColor="text1"/>
                <w:sz w:val="24"/>
                <w:szCs w:val="24"/>
              </w:rPr>
              <w:t xml:space="preserve">                    </w:t>
            </w:r>
            <w:r w:rsidR="00925640" w:rsidRPr="003735A7">
              <w:rPr>
                <w:rFonts w:cstheme="minorHAnsi"/>
                <w:bCs/>
                <w:color w:val="000000" w:themeColor="text1"/>
                <w:sz w:val="24"/>
                <w:szCs w:val="24"/>
              </w:rPr>
              <w:t>исключением случаев, прямо предусмотренных настоящим Порядком.</w:t>
            </w:r>
          </w:p>
        </w:tc>
      </w:tr>
    </w:tbl>
    <w:p w:rsidR="00925640" w:rsidRDefault="0059021C" w:rsidP="00925640">
      <w:pPr>
        <w:spacing w:after="0"/>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ab/>
      </w:r>
    </w:p>
    <w:p w:rsidR="00925640" w:rsidRDefault="00925640" w:rsidP="00925640">
      <w:pPr>
        <w:spacing w:after="0"/>
        <w:jc w:val="both"/>
        <w:rPr>
          <w:rStyle w:val="a3"/>
          <w:rFonts w:ascii="Times New Roman" w:hAnsi="Times New Roman" w:cs="Times New Roman"/>
          <w:b w:val="0"/>
          <w:sz w:val="28"/>
          <w:szCs w:val="28"/>
        </w:rPr>
      </w:pPr>
    </w:p>
    <w:p w:rsidR="007725E0" w:rsidRDefault="007725E0" w:rsidP="00925640">
      <w:pPr>
        <w:spacing w:after="0"/>
        <w:jc w:val="both"/>
        <w:rPr>
          <w:rStyle w:val="a3"/>
          <w:rFonts w:ascii="Times New Roman" w:hAnsi="Times New Roman" w:cs="Times New Roman"/>
          <w:b w:val="0"/>
          <w:sz w:val="28"/>
          <w:szCs w:val="28"/>
        </w:rPr>
      </w:pPr>
      <w:bookmarkStart w:id="0" w:name="_GoBack"/>
      <w:bookmarkEnd w:id="0"/>
    </w:p>
    <w:sectPr w:rsidR="007725E0" w:rsidSect="0084675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CC4"/>
    <w:multiLevelType w:val="hybridMultilevel"/>
    <w:tmpl w:val="5DD0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7259F"/>
    <w:multiLevelType w:val="hybridMultilevel"/>
    <w:tmpl w:val="0164B30C"/>
    <w:lvl w:ilvl="0" w:tplc="61324E3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0818DF"/>
    <w:multiLevelType w:val="multilevel"/>
    <w:tmpl w:val="987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A7AAF"/>
    <w:multiLevelType w:val="multilevel"/>
    <w:tmpl w:val="AA0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57EDE"/>
    <w:multiLevelType w:val="hybridMultilevel"/>
    <w:tmpl w:val="C494E1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F5"/>
    <w:rsid w:val="00003638"/>
    <w:rsid w:val="00004D25"/>
    <w:rsid w:val="00014EF7"/>
    <w:rsid w:val="0002681C"/>
    <w:rsid w:val="00045276"/>
    <w:rsid w:val="00061845"/>
    <w:rsid w:val="00086A38"/>
    <w:rsid w:val="000A75A8"/>
    <w:rsid w:val="000B4DF3"/>
    <w:rsid w:val="000D4FE4"/>
    <w:rsid w:val="000E6F2A"/>
    <w:rsid w:val="00106316"/>
    <w:rsid w:val="00106A63"/>
    <w:rsid w:val="00116763"/>
    <w:rsid w:val="00144445"/>
    <w:rsid w:val="00154EEF"/>
    <w:rsid w:val="00164429"/>
    <w:rsid w:val="00164E8B"/>
    <w:rsid w:val="00194EE2"/>
    <w:rsid w:val="001B11AC"/>
    <w:rsid w:val="00204350"/>
    <w:rsid w:val="002078FC"/>
    <w:rsid w:val="00207924"/>
    <w:rsid w:val="00217B4D"/>
    <w:rsid w:val="0023117F"/>
    <w:rsid w:val="00231FA4"/>
    <w:rsid w:val="002327D7"/>
    <w:rsid w:val="00242579"/>
    <w:rsid w:val="0025315F"/>
    <w:rsid w:val="00265426"/>
    <w:rsid w:val="00267D88"/>
    <w:rsid w:val="00296C9A"/>
    <w:rsid w:val="002973F5"/>
    <w:rsid w:val="002A32D8"/>
    <w:rsid w:val="002D5B59"/>
    <w:rsid w:val="002E1C94"/>
    <w:rsid w:val="002E69AC"/>
    <w:rsid w:val="002E6D51"/>
    <w:rsid w:val="00321FC9"/>
    <w:rsid w:val="003244AE"/>
    <w:rsid w:val="003365E2"/>
    <w:rsid w:val="003462D7"/>
    <w:rsid w:val="00350CF4"/>
    <w:rsid w:val="003567AB"/>
    <w:rsid w:val="0037334A"/>
    <w:rsid w:val="003734DF"/>
    <w:rsid w:val="003735A7"/>
    <w:rsid w:val="00396ABA"/>
    <w:rsid w:val="003E3397"/>
    <w:rsid w:val="00406CC3"/>
    <w:rsid w:val="004127AC"/>
    <w:rsid w:val="00441413"/>
    <w:rsid w:val="0045150D"/>
    <w:rsid w:val="004877CB"/>
    <w:rsid w:val="004938B6"/>
    <w:rsid w:val="004A1F47"/>
    <w:rsid w:val="004B13E5"/>
    <w:rsid w:val="004C6864"/>
    <w:rsid w:val="004D6577"/>
    <w:rsid w:val="004D7B55"/>
    <w:rsid w:val="004E084E"/>
    <w:rsid w:val="00513D2F"/>
    <w:rsid w:val="005261C7"/>
    <w:rsid w:val="0056172B"/>
    <w:rsid w:val="00571AC4"/>
    <w:rsid w:val="00572C14"/>
    <w:rsid w:val="00584969"/>
    <w:rsid w:val="0059021C"/>
    <w:rsid w:val="005C520F"/>
    <w:rsid w:val="005E7CFD"/>
    <w:rsid w:val="00606E26"/>
    <w:rsid w:val="00607D46"/>
    <w:rsid w:val="006134A0"/>
    <w:rsid w:val="00634D08"/>
    <w:rsid w:val="00661BD0"/>
    <w:rsid w:val="006744E3"/>
    <w:rsid w:val="00681072"/>
    <w:rsid w:val="00683A7E"/>
    <w:rsid w:val="006957E9"/>
    <w:rsid w:val="0069624D"/>
    <w:rsid w:val="006D1DAF"/>
    <w:rsid w:val="006E1677"/>
    <w:rsid w:val="00735724"/>
    <w:rsid w:val="00770D55"/>
    <w:rsid w:val="007725E0"/>
    <w:rsid w:val="0078756D"/>
    <w:rsid w:val="007A463E"/>
    <w:rsid w:val="007A727C"/>
    <w:rsid w:val="007B17D8"/>
    <w:rsid w:val="007B7712"/>
    <w:rsid w:val="007C4D7F"/>
    <w:rsid w:val="007E4A5A"/>
    <w:rsid w:val="007E51AB"/>
    <w:rsid w:val="007E51C1"/>
    <w:rsid w:val="007E5758"/>
    <w:rsid w:val="00813689"/>
    <w:rsid w:val="008211BD"/>
    <w:rsid w:val="0083624F"/>
    <w:rsid w:val="0084675E"/>
    <w:rsid w:val="0085193E"/>
    <w:rsid w:val="00867545"/>
    <w:rsid w:val="008679BA"/>
    <w:rsid w:val="00883352"/>
    <w:rsid w:val="00894027"/>
    <w:rsid w:val="008D14E0"/>
    <w:rsid w:val="008D3860"/>
    <w:rsid w:val="008E1496"/>
    <w:rsid w:val="008E73A9"/>
    <w:rsid w:val="00906008"/>
    <w:rsid w:val="00925640"/>
    <w:rsid w:val="0093144B"/>
    <w:rsid w:val="00931643"/>
    <w:rsid w:val="00950141"/>
    <w:rsid w:val="00965EE5"/>
    <w:rsid w:val="009B1E31"/>
    <w:rsid w:val="009C5656"/>
    <w:rsid w:val="009D687F"/>
    <w:rsid w:val="009E021E"/>
    <w:rsid w:val="009F6BE5"/>
    <w:rsid w:val="009F6DA9"/>
    <w:rsid w:val="00A11BAE"/>
    <w:rsid w:val="00A17CE4"/>
    <w:rsid w:val="00A61C4A"/>
    <w:rsid w:val="00A66271"/>
    <w:rsid w:val="00A936C3"/>
    <w:rsid w:val="00AA0B3F"/>
    <w:rsid w:val="00AD308A"/>
    <w:rsid w:val="00AF119D"/>
    <w:rsid w:val="00B22AF6"/>
    <w:rsid w:val="00B25F05"/>
    <w:rsid w:val="00B65D0F"/>
    <w:rsid w:val="00B753FF"/>
    <w:rsid w:val="00B95701"/>
    <w:rsid w:val="00BA4BF6"/>
    <w:rsid w:val="00BF6C8F"/>
    <w:rsid w:val="00C04DF3"/>
    <w:rsid w:val="00C1622F"/>
    <w:rsid w:val="00C37A68"/>
    <w:rsid w:val="00C900B7"/>
    <w:rsid w:val="00CA130E"/>
    <w:rsid w:val="00CD44C5"/>
    <w:rsid w:val="00CE664A"/>
    <w:rsid w:val="00D101F5"/>
    <w:rsid w:val="00D10C54"/>
    <w:rsid w:val="00D16C5F"/>
    <w:rsid w:val="00D22F3D"/>
    <w:rsid w:val="00D26D98"/>
    <w:rsid w:val="00D67ADF"/>
    <w:rsid w:val="00DA5095"/>
    <w:rsid w:val="00DB42CA"/>
    <w:rsid w:val="00DC004D"/>
    <w:rsid w:val="00DC1962"/>
    <w:rsid w:val="00DE31A8"/>
    <w:rsid w:val="00DE732B"/>
    <w:rsid w:val="00E16592"/>
    <w:rsid w:val="00E27554"/>
    <w:rsid w:val="00E350A2"/>
    <w:rsid w:val="00E40E6A"/>
    <w:rsid w:val="00E4401D"/>
    <w:rsid w:val="00E73035"/>
    <w:rsid w:val="00E74DF8"/>
    <w:rsid w:val="00E96309"/>
    <w:rsid w:val="00EA3F12"/>
    <w:rsid w:val="00EA7B75"/>
    <w:rsid w:val="00EB44E7"/>
    <w:rsid w:val="00EB7E51"/>
    <w:rsid w:val="00ED26A5"/>
    <w:rsid w:val="00ED7DC4"/>
    <w:rsid w:val="00EE35A6"/>
    <w:rsid w:val="00F17568"/>
    <w:rsid w:val="00F316A1"/>
    <w:rsid w:val="00F41477"/>
    <w:rsid w:val="00F60892"/>
    <w:rsid w:val="00F72B74"/>
    <w:rsid w:val="00F81069"/>
    <w:rsid w:val="00FA11B6"/>
    <w:rsid w:val="00FA54AB"/>
    <w:rsid w:val="00FC2173"/>
    <w:rsid w:val="00FE037A"/>
    <w:rsid w:val="00F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4DF8"/>
    <w:rPr>
      <w:b/>
      <w:bCs/>
    </w:rPr>
  </w:style>
  <w:style w:type="paragraph" w:styleId="a4">
    <w:name w:val="Normal (Web)"/>
    <w:basedOn w:val="a"/>
    <w:uiPriority w:val="99"/>
    <w:semiHidden/>
    <w:unhideWhenUsed/>
    <w:rsid w:val="00EB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FC2173"/>
    <w:rPr>
      <w:i/>
      <w:iCs/>
      <w:color w:val="000000" w:themeColor="text1"/>
    </w:rPr>
  </w:style>
  <w:style w:type="character" w:customStyle="1" w:styleId="20">
    <w:name w:val="Цитата 2 Знак"/>
    <w:basedOn w:val="a0"/>
    <w:link w:val="2"/>
    <w:uiPriority w:val="29"/>
    <w:rsid w:val="00FC2173"/>
    <w:rPr>
      <w:i/>
      <w:iCs/>
      <w:color w:val="000000" w:themeColor="text1"/>
    </w:rPr>
  </w:style>
  <w:style w:type="table" w:styleId="a5">
    <w:name w:val="Table Grid"/>
    <w:basedOn w:val="a1"/>
    <w:uiPriority w:val="59"/>
    <w:rsid w:val="0060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607D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07D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E73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uiPriority w:val="34"/>
    <w:qFormat/>
    <w:rsid w:val="00A17CE4"/>
    <w:pPr>
      <w:ind w:left="720"/>
      <w:contextualSpacing/>
    </w:pPr>
  </w:style>
  <w:style w:type="table" w:styleId="-50">
    <w:name w:val="Light List Accent 5"/>
    <w:basedOn w:val="a1"/>
    <w:uiPriority w:val="61"/>
    <w:rsid w:val="00ED26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Balloon Text"/>
    <w:basedOn w:val="a"/>
    <w:link w:val="a9"/>
    <w:uiPriority w:val="99"/>
    <w:semiHidden/>
    <w:unhideWhenUsed/>
    <w:rsid w:val="00DB4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4DF8"/>
    <w:rPr>
      <w:b/>
      <w:bCs/>
    </w:rPr>
  </w:style>
  <w:style w:type="paragraph" w:styleId="a4">
    <w:name w:val="Normal (Web)"/>
    <w:basedOn w:val="a"/>
    <w:uiPriority w:val="99"/>
    <w:semiHidden/>
    <w:unhideWhenUsed/>
    <w:rsid w:val="00EB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FC2173"/>
    <w:rPr>
      <w:i/>
      <w:iCs/>
      <w:color w:val="000000" w:themeColor="text1"/>
    </w:rPr>
  </w:style>
  <w:style w:type="character" w:customStyle="1" w:styleId="20">
    <w:name w:val="Цитата 2 Знак"/>
    <w:basedOn w:val="a0"/>
    <w:link w:val="2"/>
    <w:uiPriority w:val="29"/>
    <w:rsid w:val="00FC2173"/>
    <w:rPr>
      <w:i/>
      <w:iCs/>
      <w:color w:val="000000" w:themeColor="text1"/>
    </w:rPr>
  </w:style>
  <w:style w:type="table" w:styleId="a5">
    <w:name w:val="Table Grid"/>
    <w:basedOn w:val="a1"/>
    <w:uiPriority w:val="59"/>
    <w:rsid w:val="0060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607D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07D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E73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uiPriority w:val="34"/>
    <w:qFormat/>
    <w:rsid w:val="00A17CE4"/>
    <w:pPr>
      <w:ind w:left="720"/>
      <w:contextualSpacing/>
    </w:pPr>
  </w:style>
  <w:style w:type="table" w:styleId="-50">
    <w:name w:val="Light List Accent 5"/>
    <w:basedOn w:val="a1"/>
    <w:uiPriority w:val="61"/>
    <w:rsid w:val="00ED26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Balloon Text"/>
    <w:basedOn w:val="a"/>
    <w:link w:val="a9"/>
    <w:uiPriority w:val="99"/>
    <w:semiHidden/>
    <w:unhideWhenUsed/>
    <w:rsid w:val="00DB4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6960">
      <w:bodyDiv w:val="1"/>
      <w:marLeft w:val="0"/>
      <w:marRight w:val="0"/>
      <w:marTop w:val="0"/>
      <w:marBottom w:val="0"/>
      <w:divBdr>
        <w:top w:val="none" w:sz="0" w:space="0" w:color="auto"/>
        <w:left w:val="none" w:sz="0" w:space="0" w:color="auto"/>
        <w:bottom w:val="none" w:sz="0" w:space="0" w:color="auto"/>
        <w:right w:val="none" w:sz="0" w:space="0" w:color="auto"/>
      </w:divBdr>
    </w:div>
    <w:div w:id="259803354">
      <w:bodyDiv w:val="1"/>
      <w:marLeft w:val="0"/>
      <w:marRight w:val="0"/>
      <w:marTop w:val="0"/>
      <w:marBottom w:val="0"/>
      <w:divBdr>
        <w:top w:val="none" w:sz="0" w:space="0" w:color="auto"/>
        <w:left w:val="none" w:sz="0" w:space="0" w:color="auto"/>
        <w:bottom w:val="none" w:sz="0" w:space="0" w:color="auto"/>
        <w:right w:val="none" w:sz="0" w:space="0" w:color="auto"/>
      </w:divBdr>
    </w:div>
    <w:div w:id="717511754">
      <w:bodyDiv w:val="1"/>
      <w:marLeft w:val="0"/>
      <w:marRight w:val="0"/>
      <w:marTop w:val="0"/>
      <w:marBottom w:val="0"/>
      <w:divBdr>
        <w:top w:val="none" w:sz="0" w:space="0" w:color="auto"/>
        <w:left w:val="none" w:sz="0" w:space="0" w:color="auto"/>
        <w:bottom w:val="none" w:sz="0" w:space="0" w:color="auto"/>
        <w:right w:val="none" w:sz="0" w:space="0" w:color="auto"/>
      </w:divBdr>
    </w:div>
    <w:div w:id="1148475729">
      <w:bodyDiv w:val="1"/>
      <w:marLeft w:val="0"/>
      <w:marRight w:val="0"/>
      <w:marTop w:val="0"/>
      <w:marBottom w:val="0"/>
      <w:divBdr>
        <w:top w:val="none" w:sz="0" w:space="0" w:color="auto"/>
        <w:left w:val="none" w:sz="0" w:space="0" w:color="auto"/>
        <w:bottom w:val="none" w:sz="0" w:space="0" w:color="auto"/>
        <w:right w:val="none" w:sz="0" w:space="0" w:color="auto"/>
      </w:divBdr>
      <w:divsChild>
        <w:div w:id="583685149">
          <w:marLeft w:val="0"/>
          <w:marRight w:val="0"/>
          <w:marTop w:val="0"/>
          <w:marBottom w:val="0"/>
          <w:divBdr>
            <w:top w:val="none" w:sz="0" w:space="0" w:color="auto"/>
            <w:left w:val="none" w:sz="0" w:space="0" w:color="auto"/>
            <w:bottom w:val="none" w:sz="0" w:space="0" w:color="auto"/>
            <w:right w:val="none" w:sz="0" w:space="0" w:color="auto"/>
          </w:divBdr>
        </w:div>
        <w:div w:id="2085880784">
          <w:marLeft w:val="0"/>
          <w:marRight w:val="0"/>
          <w:marTop w:val="0"/>
          <w:marBottom w:val="0"/>
          <w:divBdr>
            <w:top w:val="none" w:sz="0" w:space="0" w:color="auto"/>
            <w:left w:val="none" w:sz="0" w:space="0" w:color="auto"/>
            <w:bottom w:val="none" w:sz="0" w:space="0" w:color="auto"/>
            <w:right w:val="none" w:sz="0" w:space="0" w:color="auto"/>
          </w:divBdr>
        </w:div>
      </w:divsChild>
    </w:div>
    <w:div w:id="1321689458">
      <w:bodyDiv w:val="1"/>
      <w:marLeft w:val="0"/>
      <w:marRight w:val="0"/>
      <w:marTop w:val="0"/>
      <w:marBottom w:val="0"/>
      <w:divBdr>
        <w:top w:val="none" w:sz="0" w:space="0" w:color="auto"/>
        <w:left w:val="none" w:sz="0" w:space="0" w:color="auto"/>
        <w:bottom w:val="none" w:sz="0" w:space="0" w:color="auto"/>
        <w:right w:val="none" w:sz="0" w:space="0" w:color="auto"/>
      </w:divBdr>
    </w:div>
    <w:div w:id="16690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58E9-7E9D-488D-8153-D7DE6261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2020-12-24T13:52:00Z</cp:lastPrinted>
  <dcterms:created xsi:type="dcterms:W3CDTF">2022-09-26T10:54:00Z</dcterms:created>
  <dcterms:modified xsi:type="dcterms:W3CDTF">2022-09-26T10:55:00Z</dcterms:modified>
</cp:coreProperties>
</file>