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W w:w="10491" w:type="dxa"/>
        <w:tblInd w:w="-885" w:type="dxa"/>
        <w:tblLook w:val="04A0" w:firstRow="1" w:lastRow="0" w:firstColumn="1" w:lastColumn="0" w:noHBand="0" w:noVBand="1"/>
      </w:tblPr>
      <w:tblGrid>
        <w:gridCol w:w="2213"/>
        <w:gridCol w:w="8278"/>
      </w:tblGrid>
      <w:tr w:rsidR="003930EB" w:rsidRPr="00E40E6A" w:rsidTr="00524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2"/>
          </w:tcPr>
          <w:p w:rsidR="003930EB" w:rsidRPr="00FF0928" w:rsidRDefault="003930EB" w:rsidP="00A8461F">
            <w:pPr>
              <w:spacing w:after="20"/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F0928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Основные условия программы финансирования</w:t>
            </w:r>
          </w:p>
          <w:p w:rsidR="003930EB" w:rsidRDefault="003930EB" w:rsidP="00A8461F">
            <w:pPr>
              <w:spacing w:after="20"/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F0928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 xml:space="preserve"> Региональным фондом развития  промышленности Республики Алтай</w:t>
            </w:r>
          </w:p>
          <w:p w:rsidR="003930EB" w:rsidRDefault="003930EB" w:rsidP="00273811">
            <w:pPr>
              <w:spacing w:after="20"/>
              <w:jc w:val="center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Программа «</w:t>
            </w:r>
            <w:r w:rsidR="00273811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ПРОМЫШЛЕННЫЙ ПАРК</w:t>
            </w: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3930EB" w:rsidRPr="00E40E6A" w:rsidTr="003B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E40E6A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сумма займа</w:t>
            </w:r>
          </w:p>
        </w:tc>
        <w:tc>
          <w:tcPr>
            <w:tcW w:w="8364" w:type="dxa"/>
          </w:tcPr>
          <w:p w:rsidR="003930EB" w:rsidRPr="00E40E6A" w:rsidRDefault="003930EB" w:rsidP="0033226C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о</w:t>
            </w:r>
            <w:r w:rsidR="003760F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т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3760F8" w:rsidRPr="003760F8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5,0-</w:t>
            </w:r>
            <w:r w:rsidR="0033226C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273811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3760F8" w:rsidRPr="003760F8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,0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рублей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30EB" w:rsidRPr="00E40E6A" w:rsidTr="003B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E40E6A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срок займа</w:t>
            </w:r>
          </w:p>
        </w:tc>
        <w:tc>
          <w:tcPr>
            <w:tcW w:w="8364" w:type="dxa"/>
          </w:tcPr>
          <w:p w:rsidR="003930EB" w:rsidRPr="00E40E6A" w:rsidRDefault="003930EB" w:rsidP="0033226C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до </w:t>
            </w:r>
            <w:r w:rsidR="0033226C" w:rsidRPr="0033226C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33226C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3930EB" w:rsidRPr="00E40E6A" w:rsidTr="003B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E40E6A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процентная ставка</w:t>
            </w:r>
          </w:p>
        </w:tc>
        <w:tc>
          <w:tcPr>
            <w:tcW w:w="8364" w:type="dxa"/>
          </w:tcPr>
          <w:p w:rsidR="003930EB" w:rsidRPr="00E40E6A" w:rsidRDefault="003930EB" w:rsidP="0033226C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="0033226C" w:rsidRPr="0033226C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3760F8" w:rsidRPr="0033226C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33226C" w:rsidRPr="0033226C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%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процентов годовых </w:t>
            </w:r>
          </w:p>
        </w:tc>
      </w:tr>
      <w:tr w:rsidR="00554498" w:rsidRPr="00E40E6A" w:rsidTr="003B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554498" w:rsidRDefault="00554498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54498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364" w:type="dxa"/>
          </w:tcPr>
          <w:p w:rsidR="00554498" w:rsidRDefault="00554498" w:rsidP="00273811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55449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не менее 40% от общего бюджета проекта</w:t>
            </w:r>
          </w:p>
        </w:tc>
      </w:tr>
      <w:tr w:rsidR="003930EB" w:rsidRPr="00E40E6A" w:rsidTr="003B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3B75EB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цели финансирования</w:t>
            </w:r>
            <w:r w:rsidRPr="003B75EB">
              <w:rPr>
                <w:sz w:val="24"/>
                <w:szCs w:val="24"/>
              </w:rPr>
              <w:t xml:space="preserve"> </w:t>
            </w:r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:rsidR="00011D5A" w:rsidRPr="00011D5A" w:rsidRDefault="003B75EB" w:rsidP="00011D5A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1) </w:t>
            </w:r>
            <w:r w:rsidR="00011D5A"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>разработка проектно-сметной документации и (или) выполнение инженерных изысканий;</w:t>
            </w:r>
          </w:p>
          <w:p w:rsidR="00011D5A" w:rsidRPr="00011D5A" w:rsidRDefault="00011D5A" w:rsidP="00011D5A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  <w:r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>) получение положительного заключения государственной экспертизы проектно-сметной документации и (или) результатов инженерных изысканий, а также заключения государственной экспертизы о достоверности сметной стоимости объектов инфраструктуры индустриальных (промышленных) парков, промышленных технопарков, промышленных площадок;</w:t>
            </w:r>
          </w:p>
          <w:p w:rsidR="00011D5A" w:rsidRPr="00011D5A" w:rsidRDefault="00011D5A" w:rsidP="00011D5A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3</w:t>
            </w:r>
            <w:r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>) создание объектов инфраструктуры индустриальных (промышленных) парков, промышленных технопарков, промышленных площадок (создание и (или) реконструкция систем водо-, тепл</w:t>
            </w:r>
            <w:proofErr w:type="gramStart"/>
            <w:r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газо- и электроснабжения, канализации, очистных сооружений, в том числе в целях повышения их энергетической эффективности, дорог и подъездных путей и (или) иных объектов инженерных сетей и коммуникаций, в том числе внеплощадочных) (далее - объекты инфраструктуры индустриальных (промышленных) парков, промышленных технопарков, промышленных площадок;</w:t>
            </w:r>
          </w:p>
          <w:p w:rsidR="00011D5A" w:rsidRPr="00011D5A" w:rsidRDefault="00011D5A" w:rsidP="00011D5A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4</w:t>
            </w:r>
            <w:r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) внесение платы за технологическое присоединение объектов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и</w:t>
            </w:r>
            <w:r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>нфраструктуры индустриальных (промышленных) парков, промышленных технопарков, промышленных площадок к инженерным сетям и коммуникациям общего пользования;</w:t>
            </w:r>
          </w:p>
          <w:p w:rsidR="00011D5A" w:rsidRPr="00011D5A" w:rsidRDefault="00011D5A" w:rsidP="00011D5A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>) подготовка документации по план</w:t>
            </w:r>
            <w:bookmarkStart w:id="0" w:name="_GoBack"/>
            <w:bookmarkEnd w:id="0"/>
            <w:r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>ировке территории;</w:t>
            </w:r>
          </w:p>
          <w:p w:rsidR="00011D5A" w:rsidRPr="00011D5A" w:rsidRDefault="00011D5A" w:rsidP="00011D5A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6</w:t>
            </w:r>
            <w:r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>) приобретение технологического, инженерного, производственного оборудования, оборудования для переработки продукции, лабораторного, выставочного оборудования (включая программное обеспечение, монтаж и пусконаладочные работы);</w:t>
            </w:r>
          </w:p>
          <w:p w:rsidR="003930EB" w:rsidRDefault="00011D5A" w:rsidP="00011D5A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7</w:t>
            </w:r>
            <w:r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>) создание индустриальных (промышленных) парков, промышленных технопарков, промышленных площадок, в том числе проведение коммуникаций, строительство и (или) реконструкция производственных зданий, строений, сооружений</w:t>
            </w:r>
            <w:r w:rsidR="003930EB" w:rsidRPr="00011D5A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201FED" w:rsidRDefault="00201FED" w:rsidP="00201F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201FED" w:rsidRPr="00201FED" w:rsidRDefault="00201FED" w:rsidP="007B74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01FE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Критерии промышленного парка:</w:t>
            </w:r>
          </w:p>
          <w:p w:rsidR="00201FED" w:rsidRPr="00201FED" w:rsidRDefault="00201FED" w:rsidP="00201FED">
            <w:pPr>
              <w:autoSpaceDE w:val="0"/>
              <w:autoSpaceDN w:val="0"/>
              <w:adjustRightInd w:val="0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r w:rsidRPr="00201FE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Индустриальный (промышленный) парк - </w:t>
            </w:r>
            <w:r w:rsidRPr="00201FED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совокупность объектов промышленной инфраструктуры, предназначенных для создания промышленного производства или модернизации промышленного производства и управляемых управляющей компанией - коммерческой или некоммерческой организацией, созданной в соответствии с законодательством Российской Федерации, площадью не менее 8 га и инфраструктуры, предназначенные для создания благоприятных условий ведения предпринимательской деятельности в сфере промышленности;</w:t>
            </w:r>
          </w:p>
          <w:p w:rsidR="00201FED" w:rsidRPr="00201FED" w:rsidRDefault="00201FED" w:rsidP="00201FED">
            <w:pPr>
              <w:autoSpaceDE w:val="0"/>
              <w:autoSpaceDN w:val="0"/>
              <w:adjustRightInd w:val="0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proofErr w:type="gramStart"/>
            <w:r w:rsidRPr="00201FED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Промышленный технопарк</w:t>
            </w:r>
            <w:r w:rsidRPr="00201FE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- объекты промышленной инфраструктуры и технологической инфраструктуры, предназначенные для осуществления субъектами деятельности в сфере промышленности промышленного производства, и (или) научно-технической деятельности, и (или) инновационной деятельности в целях освоения производства промышленной продукции и коммерциализации полученных научно-</w:t>
            </w:r>
            <w:r w:rsidRPr="00201FED">
              <w:rPr>
                <w:rFonts w:ascii="Calibri" w:hAnsi="Calibri" w:cs="Calibri"/>
                <w:color w:val="auto"/>
                <w:sz w:val="24"/>
                <w:szCs w:val="24"/>
              </w:rPr>
              <w:lastRenderedPageBreak/>
              <w:t>технических результатов и управляемые управляющей компанией - коммерческой или некоммерческой организацией, созданной в соответствии с законодательством Российской Федерации.</w:t>
            </w:r>
            <w:proofErr w:type="gramEnd"/>
          </w:p>
          <w:p w:rsidR="00201FED" w:rsidRPr="00201FED" w:rsidRDefault="00201FED" w:rsidP="007B740F">
            <w:pPr>
              <w:spacing w:after="20"/>
              <w:ind w:firstLine="5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201FED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Промышленная площадка</w:t>
            </w:r>
            <w:r w:rsidRPr="00201FE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- </w:t>
            </w:r>
            <w:r w:rsidR="007B740F" w:rsidRPr="007B740F">
              <w:rPr>
                <w:rFonts w:ascii="Calibri" w:hAnsi="Calibri" w:cs="Calibri"/>
                <w:color w:val="auto"/>
                <w:sz w:val="24"/>
                <w:szCs w:val="24"/>
              </w:rPr>
              <w:t>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и (или) земель населенных пунктов, на которых допускается размещение объектов производственной инфраструктуры</w:t>
            </w:r>
            <w:r w:rsidR="005E0BD8" w:rsidRPr="005E0BD8">
              <w:rPr>
                <w:rFonts w:ascii="Calibri" w:hAnsi="Calibri" w:cs="Calibri"/>
                <w:color w:val="auto"/>
                <w:sz w:val="24"/>
                <w:szCs w:val="24"/>
              </w:rPr>
              <w:t>.</w:t>
            </w:r>
            <w:proofErr w:type="gramEnd"/>
          </w:p>
          <w:p w:rsidR="00201FED" w:rsidRDefault="00201FED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</w:p>
          <w:p w:rsidR="003930EB" w:rsidRPr="003B75EB" w:rsidRDefault="003930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Заемные денежные средства не направляются на:</w:t>
            </w:r>
          </w:p>
          <w:p w:rsidR="003B75EB" w:rsidRPr="003B75EB" w:rsidRDefault="003930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</w:r>
            <w:r w:rsidR="003B75EB"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рефинансирование заемных средств и погашение кредиторской задолженности и иных обязательств, возникших до даты предоставления Займа;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уплату процентов по заемным средствам, в том числе по Займу, предоставленному РФРП;</w:t>
            </w:r>
          </w:p>
          <w:p w:rsidR="003B75EB" w:rsidRPr="003B75EB" w:rsidRDefault="003B75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приобретение или погашение векселей, эмиссионных ценных бумаг;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осуществление вложений в уставные и складочные капиталы третьих лиц;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оплату налогов и сборов, а также прочих текущих (коммунальных, арендных и т.п.) платежей;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выплату заработной платы;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строительство зданий, сооружений общехозяйственного назначения;</w:t>
            </w:r>
          </w:p>
          <w:p w:rsidR="003930EB" w:rsidRPr="003B75EB" w:rsidRDefault="003B75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оплату консульт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ационных и посреднических услуг</w:t>
            </w:r>
            <w:r w:rsidR="003930EB"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755C5F" w:rsidRDefault="00755C5F" w:rsidP="00A8461F">
      <w:pPr>
        <w:spacing w:after="20"/>
      </w:pPr>
    </w:p>
    <w:sectPr w:rsidR="00755C5F" w:rsidSect="0052403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EB"/>
    <w:rsid w:val="00011D5A"/>
    <w:rsid w:val="001725DB"/>
    <w:rsid w:val="00201FED"/>
    <w:rsid w:val="00273811"/>
    <w:rsid w:val="0033226C"/>
    <w:rsid w:val="003760F8"/>
    <w:rsid w:val="003930EB"/>
    <w:rsid w:val="003B75EB"/>
    <w:rsid w:val="003D1596"/>
    <w:rsid w:val="00524031"/>
    <w:rsid w:val="00554498"/>
    <w:rsid w:val="005E0BD8"/>
    <w:rsid w:val="00755C5F"/>
    <w:rsid w:val="007B740F"/>
    <w:rsid w:val="007F588D"/>
    <w:rsid w:val="00966EA0"/>
    <w:rsid w:val="00A8461F"/>
    <w:rsid w:val="00CF5022"/>
    <w:rsid w:val="00D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0EB"/>
    <w:rPr>
      <w:b/>
      <w:bCs/>
    </w:rPr>
  </w:style>
  <w:style w:type="table" w:styleId="-5">
    <w:name w:val="Light Shading Accent 5"/>
    <w:basedOn w:val="a1"/>
    <w:uiPriority w:val="60"/>
    <w:rsid w:val="003930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0EB"/>
    <w:rPr>
      <w:b/>
      <w:bCs/>
    </w:rPr>
  </w:style>
  <w:style w:type="table" w:styleId="-5">
    <w:name w:val="Light Shading Accent 5"/>
    <w:basedOn w:val="a1"/>
    <w:uiPriority w:val="60"/>
    <w:rsid w:val="003930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2021-05-11T13:46:00Z</cp:lastPrinted>
  <dcterms:created xsi:type="dcterms:W3CDTF">2023-05-19T02:42:00Z</dcterms:created>
  <dcterms:modified xsi:type="dcterms:W3CDTF">2024-06-25T02:22:00Z</dcterms:modified>
</cp:coreProperties>
</file>